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C" w:rsidRDefault="002D2F1C" w:rsidP="002D2F1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</w:t>
      </w:r>
    </w:p>
    <w:p w:rsidR="002D2F1C" w:rsidRDefault="002D2F1C" w:rsidP="002D2F1C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D2F1C" w:rsidRDefault="002D2F1C" w:rsidP="002D2F1C">
      <w:pPr>
        <w:pStyle w:val="a8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Сальский</w:t>
      </w:r>
      <w:proofErr w:type="spellEnd"/>
      <w:r>
        <w:rPr>
          <w:b w:val="0"/>
          <w:sz w:val="28"/>
          <w:szCs w:val="28"/>
        </w:rPr>
        <w:t xml:space="preserve"> район </w:t>
      </w: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2D2F1C" w:rsidRDefault="002D2F1C" w:rsidP="002D2F1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120650</wp:posOffset>
                </wp:positionV>
                <wp:extent cx="6386830" cy="0"/>
                <wp:effectExtent l="19685" t="25400" r="2286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9.5pt" to="46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yTgIAAFkEAAAOAAAAZHJzL2Uyb0RvYy54bWysVM2O0zAQviPxDlbu3SRtK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" o:allowincell="f" strokeweight="3pt"/>
            </w:pict>
          </mc:Fallback>
        </mc:AlternateContent>
      </w:r>
    </w:p>
    <w:p w:rsidR="002D2F1C" w:rsidRDefault="002D2F1C" w:rsidP="002D2F1C">
      <w:pPr>
        <w:jc w:val="center"/>
        <w:rPr>
          <w:b/>
          <w:sz w:val="28"/>
          <w:szCs w:val="28"/>
        </w:rPr>
      </w:pPr>
    </w:p>
    <w:p w:rsidR="002D2F1C" w:rsidRDefault="002D2F1C" w:rsidP="002D2F1C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D2F1C" w:rsidRDefault="002D2F1C" w:rsidP="002D2F1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18.03.2020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30</w:t>
      </w:r>
    </w:p>
    <w:p w:rsidR="002D2F1C" w:rsidRDefault="002D2F1C" w:rsidP="002D2F1C">
      <w:pPr>
        <w:jc w:val="center"/>
        <w:rPr>
          <w:sz w:val="27"/>
          <w:szCs w:val="27"/>
        </w:rPr>
      </w:pPr>
      <w:r>
        <w:rPr>
          <w:sz w:val="27"/>
          <w:szCs w:val="27"/>
        </w:rPr>
        <w:t>п. Рыбасово</w:t>
      </w:r>
    </w:p>
    <w:p w:rsidR="002D2F1C" w:rsidRDefault="002D2F1C" w:rsidP="002D2F1C">
      <w:pPr>
        <w:tabs>
          <w:tab w:val="left" w:pos="4395"/>
        </w:tabs>
        <w:ind w:right="49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4"/>
      </w:tblGrid>
      <w:tr w:rsidR="002D2F1C" w:rsidTr="002D2F1C">
        <w:trPr>
          <w:trHeight w:val="955"/>
        </w:trPr>
        <w:tc>
          <w:tcPr>
            <w:tcW w:w="5934" w:type="dxa"/>
          </w:tcPr>
          <w:p w:rsidR="002D2F1C" w:rsidRDefault="002D2F1C">
            <w:pPr>
              <w:pStyle w:val="aa"/>
              <w:spacing w:line="240" w:lineRule="auto"/>
              <w:rPr>
                <w:sz w:val="27"/>
                <w:szCs w:val="27"/>
              </w:rPr>
            </w:pPr>
            <w:r>
              <w:rPr>
                <w:szCs w:val="28"/>
              </w:rPr>
              <w:t>Об       утверждении  отчета     о   реализации муниципальной программы Рыбасовского сельского поселения «</w:t>
            </w:r>
            <w:r>
              <w:rPr>
                <w:kern w:val="2"/>
                <w:szCs w:val="28"/>
              </w:rPr>
              <w:t>Обеспечение качественными жилищно-коммунальными услугами населения Рыбасовского сельского поселения» за 2019 год</w:t>
            </w:r>
          </w:p>
          <w:p w:rsidR="002D2F1C" w:rsidRDefault="002D2F1C">
            <w:pPr>
              <w:tabs>
                <w:tab w:val="left" w:pos="4395"/>
              </w:tabs>
              <w:ind w:right="4960"/>
              <w:jc w:val="both"/>
              <w:rPr>
                <w:sz w:val="27"/>
                <w:szCs w:val="27"/>
              </w:rPr>
            </w:pPr>
          </w:p>
        </w:tc>
      </w:tr>
    </w:tbl>
    <w:p w:rsidR="002D2F1C" w:rsidRDefault="002D2F1C" w:rsidP="002D2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Рыбасовского сельского поселения от 19.10.2018 № 87 «Об утверждении Порядка разработки, реализации и оценки эффективности муниципальных программ Рыбасовского сельского поселения»:</w:t>
      </w:r>
    </w:p>
    <w:p w:rsidR="002D2F1C" w:rsidRDefault="002D2F1C" w:rsidP="002D2F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поселения», утвержденной постановлением Администрации Рыбасовского сельского поселения от 12.11.2018 № 94 «Об утверждении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поселения», за 2019 год согласно приложению к настоящему распоряжению.</w:t>
      </w:r>
    </w:p>
    <w:p w:rsidR="002D2F1C" w:rsidRDefault="002D2F1C" w:rsidP="002D2F1C">
      <w:pPr>
        <w:spacing w:line="242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>
        <w:rPr>
          <w:kern w:val="2"/>
          <w:sz w:val="28"/>
          <w:szCs w:val="28"/>
        </w:rPr>
        <w:t>в сети Интернет на официальном сайте Администрации Рыбасовского сельского поселения</w:t>
      </w:r>
      <w:r>
        <w:rPr>
          <w:sz w:val="28"/>
          <w:szCs w:val="28"/>
        </w:rPr>
        <w:t>.</w:t>
      </w:r>
    </w:p>
    <w:p w:rsidR="002D2F1C" w:rsidRDefault="002D2F1C" w:rsidP="002D2F1C">
      <w:pPr>
        <w:spacing w:line="242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распоряжение на территории Рыбасовского сельского поселения.</w:t>
      </w:r>
    </w:p>
    <w:p w:rsidR="002D2F1C" w:rsidRDefault="002D2F1C" w:rsidP="002D2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2D2F1C" w:rsidRDefault="002D2F1C" w:rsidP="002D2F1C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распоряжения оставляю за собой.</w:t>
      </w:r>
    </w:p>
    <w:p w:rsidR="002D2F1C" w:rsidRDefault="002D2F1C" w:rsidP="002D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2F1C" w:rsidRDefault="002D2F1C" w:rsidP="002D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          А.П. Неберикутин</w:t>
      </w:r>
    </w:p>
    <w:p w:rsidR="002D2F1C" w:rsidRDefault="002D2F1C" w:rsidP="002D2F1C">
      <w:pPr>
        <w:jc w:val="both"/>
        <w:rPr>
          <w:sz w:val="28"/>
          <w:szCs w:val="28"/>
        </w:rPr>
      </w:pPr>
    </w:p>
    <w:p w:rsidR="002D2F1C" w:rsidRDefault="002D2F1C" w:rsidP="002D2F1C">
      <w:pPr>
        <w:jc w:val="both"/>
        <w:rPr>
          <w:sz w:val="28"/>
          <w:szCs w:val="28"/>
        </w:rPr>
      </w:pPr>
    </w:p>
    <w:p w:rsid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вносит</w:t>
      </w:r>
    </w:p>
    <w:p w:rsid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2D2F1C" w:rsidRDefault="002D2F1C" w:rsidP="002D2F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С.И.</w:t>
      </w: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365"/>
      </w:tblGrid>
      <w:tr w:rsidR="002D2F1C" w:rsidTr="002D2F1C">
        <w:trPr>
          <w:trHeight w:val="1784"/>
        </w:trPr>
        <w:tc>
          <w:tcPr>
            <w:tcW w:w="3365" w:type="dxa"/>
          </w:tcPr>
          <w:p w:rsidR="002D2F1C" w:rsidRDefault="002D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D2F1C" w:rsidRDefault="002D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2D2F1C" w:rsidRDefault="002D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2D2F1C" w:rsidRDefault="002D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2D2F1C" w:rsidRDefault="002D2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18.03.2020 № 30</w:t>
            </w:r>
          </w:p>
          <w:p w:rsidR="002D2F1C" w:rsidRDefault="002D2F1C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F1C" w:rsidRDefault="002D2F1C" w:rsidP="002D2F1C">
      <w:pPr>
        <w:rPr>
          <w:sz w:val="16"/>
          <w:szCs w:val="16"/>
        </w:rPr>
      </w:pP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2D2F1C" w:rsidRDefault="002D2F1C" w:rsidP="002D2F1C">
      <w:pPr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Рыбасовского сельского поселения</w:t>
      </w:r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2D2F1C" w:rsidRDefault="002D2F1C" w:rsidP="002D2F1C">
      <w:pPr>
        <w:jc w:val="center"/>
        <w:rPr>
          <w:sz w:val="16"/>
          <w:szCs w:val="16"/>
        </w:rPr>
      </w:pP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2D2F1C" w:rsidRDefault="002D2F1C" w:rsidP="002D2F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2D2F1C" w:rsidRDefault="002D2F1C" w:rsidP="002D2F1C">
      <w:pPr>
        <w:jc w:val="center"/>
        <w:rPr>
          <w:sz w:val="16"/>
          <w:szCs w:val="16"/>
        </w:rPr>
      </w:pPr>
    </w:p>
    <w:p w:rsidR="002D2F1C" w:rsidRDefault="002D2F1C" w:rsidP="002D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программ Рыбасовского сельского поселения, утвержденным распоряжением Администрации Рыбасовского сельского поселения от 24.08.2018 № 69, Администрация  Рыбасовского сельского поселения является ответственным исполнителем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</w:t>
      </w:r>
      <w:r>
        <w:rPr>
          <w:kern w:val="2"/>
          <w:sz w:val="28"/>
          <w:szCs w:val="28"/>
        </w:rPr>
        <w:t>» (д</w:t>
      </w:r>
      <w:r>
        <w:rPr>
          <w:sz w:val="28"/>
          <w:szCs w:val="28"/>
        </w:rPr>
        <w:t>алее – Программа).</w:t>
      </w:r>
    </w:p>
    <w:p w:rsidR="002D2F1C" w:rsidRDefault="002D2F1C" w:rsidP="002D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</w:t>
      </w:r>
      <w:r>
        <w:rPr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>утвержденной постановлением Администрации Рыбасовского сельского поселения от 12.11.2018 № 93 (далее - муниципальная программа), ответственным исполнителем и участниками муниципальной программы в 2019 году реализован комплекс мероприятий, в результате которых:</w:t>
      </w:r>
    </w:p>
    <w:p w:rsidR="002D2F1C" w:rsidRDefault="002D2F1C" w:rsidP="002D2F1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-повышено качество и надежность предоставления жилищно-коммунальных услуг населению поселения;</w:t>
      </w:r>
    </w:p>
    <w:p w:rsidR="002D2F1C" w:rsidRDefault="002D2F1C" w:rsidP="002D2F1C">
      <w:pPr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>-решаются вопросы, связанные с организацией благоустройства территории поселения, обеспечением чистоты и порядка, повышение качества жизни населения на территории Рыбасовского сельского поселения</w:t>
      </w:r>
    </w:p>
    <w:p w:rsid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2D2F1C" w:rsidRDefault="002D2F1C" w:rsidP="002D2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и развитие жилищно-коммунального хозяйства, повышение качества предоставляемых услуг;</w:t>
      </w:r>
    </w:p>
    <w:p w:rsid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сбора и вывоза бытовых отходов и мусора;</w:t>
      </w:r>
    </w:p>
    <w:p w:rsidR="002D2F1C" w:rsidRDefault="002D2F1C" w:rsidP="002D2F1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</w:r>
    </w:p>
    <w:p w:rsidR="002D2F1C" w:rsidRDefault="002D2F1C" w:rsidP="002D2F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пунктов;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территорий, эффективное решение вопросов местного значения, отнесенных к компетенции муниципального образования «Рыбасовское сельское поселение»;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активного участия населения Рыбасовского сельского поселения  в улучшении внешнего благоустройства, озеленения и санитарного состояния каждого населенного пункта;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поселения к участию в решении проблем благоустройства;</w:t>
      </w:r>
    </w:p>
    <w:p w:rsidR="002D2F1C" w:rsidRDefault="002D2F1C" w:rsidP="002D2F1C">
      <w:pPr>
        <w:tabs>
          <w:tab w:val="left" w:pos="0"/>
        </w:tabs>
        <w:ind w:left="-35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социальной инфраструктуры поселения;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-повышение престижности проживания в сельской местности</w:t>
      </w:r>
      <w:r>
        <w:t>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следующее.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D2627"/>
          <w:sz w:val="28"/>
          <w:szCs w:val="28"/>
          <w:shd w:val="clear" w:color="auto" w:fill="FAFAF2"/>
        </w:rPr>
      </w:pPr>
      <w:r>
        <w:rPr>
          <w:sz w:val="28"/>
          <w:szCs w:val="28"/>
        </w:rPr>
        <w:t xml:space="preserve">В рамках  </w:t>
      </w:r>
      <w:proofErr w:type="gramStart"/>
      <w:r>
        <w:rPr>
          <w:sz w:val="28"/>
          <w:szCs w:val="28"/>
        </w:rPr>
        <w:t>организации обустройства мест массового отдыха населения</w:t>
      </w:r>
      <w:proofErr w:type="gramEnd"/>
      <w:r>
        <w:rPr>
          <w:sz w:val="28"/>
          <w:szCs w:val="28"/>
        </w:rPr>
        <w:t xml:space="preserve"> и проведения работ по благоустройству территории поселения в границах населенных пунктов проведены следующие работы: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</w:pPr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произведены расходы на оплату лимитов уличного освещения в сумме  387,2 тыс.  рублей, содержание линий уличного освещения в сумме 52,1 тыс. рублей;  приобретение ламп ДРВ, ДРЛ, патронов, дросселей, электросчетчиков для уличного освещения в сумме 56,9 тыс. рублей;  приобретение извести для побелки деревьев в сумме 9,4 тыс. рублей; расходы на уборку территории и покос сорной растительности в сумме 257,3 тыс. рублей, </w:t>
      </w:r>
      <w:proofErr w:type="spellStart"/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>аккарицидная</w:t>
      </w:r>
      <w:proofErr w:type="spellEnd"/>
      <w:r>
        <w:rPr>
          <w:rFonts w:ascii="Times New Roman" w:hAnsi="Times New Roman" w:cs="Times New Roman"/>
          <w:color w:val="1D2627"/>
          <w:sz w:val="28"/>
          <w:szCs w:val="28"/>
          <w:shd w:val="clear" w:color="auto" w:fill="FAFAF2"/>
        </w:rPr>
        <w:t xml:space="preserve"> обработка территории поселения в сумме 40,5 тыс. рублей.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Достижению указанных результатов в 2019 году способствовала реализация основных мероприятий муниципальной </w:t>
      </w:r>
      <w:hyperlink r:id="rId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9" w:anchor="P73" w:history="1">
        <w:r>
          <w:rPr>
            <w:rStyle w:val="a3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 основных мероприятий подпрограмм.</w:t>
      </w:r>
    </w:p>
    <w:p w:rsidR="002D2F1C" w:rsidRDefault="002D2F1C" w:rsidP="002D2F1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подпрограммы «Благоустройство территории поселения» является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поселения, п</w:t>
      </w:r>
      <w:r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</w:t>
      </w:r>
      <w:r>
        <w:rPr>
          <w:rFonts w:ascii="Times New Roman" w:hAnsi="Times New Roman" w:cs="Times New Roman"/>
          <w:sz w:val="28"/>
          <w:szCs w:val="28"/>
        </w:rPr>
        <w:br/>
        <w:t>санитарного содержания населенных пунктов поселения, совершенствование эстетического вида поселения, создание гармоничной архитектурно-ландшафтной среды, 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пунктов, развитие и поддержка инициатив жителей населенных пунктов по благоустройству, санитарной очистке придомовых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территорий, повышение общего  уровня благоустройства поселения.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 Ремонт и содержание сетей уличного освещения (в том числе  оплата лимитов уличного освещения)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работы по замене ламп уличного освещения, оплачивались услуги по обслуживанию уличного освещения, производилась оплата лимитов уличного освещения. В рамках реализации данного мероприятия были заключены муниципальные контракты с ПАО «ТНС-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Ростов-на Дону» для оплаты лимитов уличного освещения в сумме 387,2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 филиалом ПАО «МРСК Юга»- «Ростовэнерго» на выполнение работ по обслуживанию уличного освещения от 31.05.2019 №61201901013651 на сумму 47,9 тыс. рублей, изготовление схемы технологического подключения ООО Регион от 16.12.2019  №9/19-ПР на сумму 4,2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на поставку электротоваров: с ООО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Рамед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-трейд  от 24.05.2019 №19 на сумму 22,4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с ИП Пономарь Е.А. от 27.05.2019 №21 на сумму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рочие мероприятия по благоустройству (содержание парков, скверов, ликвидация несанкционированных свалок)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были проведены работы по покосу сорной растительности, по приобретению извести для побелки деревьев, по прополке клумб и уборке сорной растительности, проведение противоклещевых обработок и дезинсекционные услуги. Заключены муниципальные контракты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Ростовбиосервис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26.03.2019 №8 на сумму 3,0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оплаты услуг дератизации, от 26.03.2019 №9 на сумму 37,5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проведение противоклещевой обработки, ИП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Дратов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Д.В. на благоустройство территории поселения от 25.03.2019 №10 на сумму 23,1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поставка топлива для косьбы территории поселения с ООО Эталон МК от29.03.2019  №2ДК, от 01.07.2019 №3ДК  на сумму 29,1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7 договоров ИП Григоренко С.И. №11 от 15.04.2019, №16 от 07.05.2019, №26 от 16.07.2019, №25 от 11.07.2019, №35 от 08.08.2019, №45 от 29.10.2019, №53 от 04.12.2019  на приобретение хозяйственных и строительных товаров на сумму 39,3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также договора гражданско-правового характера на покос сорной растительности уборку территории на сумму 187,8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сохранена тенденция по </w:t>
      </w:r>
      <w:r>
        <w:rPr>
          <w:kern w:val="2"/>
          <w:sz w:val="28"/>
          <w:szCs w:val="28"/>
        </w:rPr>
        <w:t>повышение уровня внешнего благоустройства поселения.</w:t>
      </w:r>
      <w:r>
        <w:rPr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вопросов благоустройства территории поселения, приведение в качественное состояние элементов благоустройства, привлечение жителей к участию в решении проблем благоустройства, восстановление и реконструкция уличного освещения, установкой светильников в населенных пунктах способствовали реализации муниципальной программы.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из 2 из  основных мероприятий, предусмотренных муниципальной </w:t>
      </w:r>
      <w:hyperlink r:id="rId10" w:history="1">
        <w:r>
          <w:rPr>
            <w:rStyle w:val="a3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>,  было запланировано к реализации с учетом финансового обеспечения.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депутатов Рыбасовского сельского поселения 24.12.2018  №  114  «О бюджете Рыбасовского сельского поселения Сальского района на 2019 год и на плановый период 2020 и 2021 годов».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2019 году составил 816,0 тыс. рублей. Фактическое освоение средств муниципальной программы по итогам 2019 года составило 816,0 тыс. рублей, или 100,0 процента.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2019 года заключено 16 муниципальных контракта (договоров) на сумму 816,0 тыс. рублей. Фактическое освоение средств составило 816,0 тыс. рублей, или 100,0 процентов.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14" w:anchor="P288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2019 год также приведены в приложении № 1 к настоящему отчету о реализации муниципальной программы.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2019 год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2019 году по 4 показателям (индикаторам) муниципальной </w:t>
      </w:r>
      <w:hyperlink r:id="rId1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достигнуты запланированные результаты. </w:t>
      </w:r>
      <w:hyperlink r:id="rId17" w:anchor="P789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 за 2019 год с обоснованием отклонений представлены в приложении № 3</w:t>
      </w:r>
      <w:r>
        <w:rPr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программы.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19" w:history="1">
        <w:r>
          <w:rPr>
            <w:rStyle w:val="a3"/>
            <w:szCs w:val="28"/>
          </w:rPr>
          <w:t>методике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оценки, утвержденной распоряжением Администрации Рыбасовского сельского поселения от 01.11.2018 № 90,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2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1" w:history="1">
        <w:r>
          <w:rPr>
            <w:rStyle w:val="a3"/>
            <w:szCs w:val="28"/>
          </w:rPr>
          <w:t xml:space="preserve">целевого показателя </w:t>
        </w:r>
      </w:hyperlink>
      <w:r>
        <w:rPr>
          <w:rFonts w:ascii="Times New Roman" w:hAnsi="Times New Roman" w:cs="Times New Roman"/>
          <w:sz w:val="28"/>
          <w:szCs w:val="28"/>
        </w:rPr>
        <w:t>2.1,2.2,2.3,2.4 равна 1,0;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2019 году.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финансирования, составляет 1,0, что характеризует высокий уровень эффективности реализации муниципальной </w:t>
      </w:r>
      <w:hyperlink r:id="rId2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2019 году.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4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2019 году.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27" w:anchor="P183" w:history="1">
        <w:r>
          <w:rPr>
            <w:rStyle w:val="a3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муниципальной программы по итогам 2019 года.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в 2019 году на реализацию основных мероприятий подпрограмм муниципальной </w:t>
      </w:r>
      <w:hyperlink r:id="rId2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3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  <w:sectPr w:rsidR="002D2F1C">
          <w:pgSz w:w="11906" w:h="16838"/>
          <w:pgMar w:top="737" w:right="737" w:bottom="624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</w:tblGrid>
      <w:tr w:rsidR="002D2F1C" w:rsidTr="002D2F1C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1</w:t>
            </w: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</w:t>
            </w: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Рыбасовского сельского поселения</w:t>
            </w: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Рыбасовского сельского поселения» за 2019 год</w:t>
            </w:r>
          </w:p>
          <w:p w:rsidR="002D2F1C" w:rsidRDefault="002D2F1C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2019 год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2D2F1C" w:rsidTr="002D2F1C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2F1C" w:rsidTr="002D2F1C">
        <w:trPr>
          <w:trHeight w:val="103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запланированные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4"/>
                <w:szCs w:val="28"/>
              </w:rPr>
            </w:pPr>
          </w:p>
        </w:tc>
      </w:tr>
      <w:tr w:rsidR="002D2F1C" w:rsidTr="002D2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D2F1C" w:rsidTr="002D2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1C" w:rsidTr="002D2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</w:t>
            </w:r>
          </w:p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2.1 </w:t>
            </w:r>
          </w:p>
          <w:p w:rsidR="002D2F1C" w:rsidRDefault="002D2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 и содержание сетей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уличного освещения (в том числе  оплата лимитов уличного освещения)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496,2 тыс. руб.</w:t>
            </w:r>
          </w:p>
          <w:p w:rsidR="002D2F1C" w:rsidRDefault="002D2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1C" w:rsidTr="002D2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   </w:t>
            </w:r>
          </w:p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2.2 </w:t>
            </w:r>
          </w:p>
          <w:p w:rsidR="002D2F1C" w:rsidRDefault="002D2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 тыс. руб.</w:t>
            </w:r>
          </w:p>
          <w:p w:rsidR="002D2F1C" w:rsidRDefault="002D2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F1C" w:rsidRDefault="002D2F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  <w:sectPr w:rsidR="002D2F1C">
          <w:pgSz w:w="16838" w:h="11906" w:orient="landscape"/>
          <w:pgMar w:top="1191" w:right="737" w:bottom="737" w:left="624" w:header="720" w:footer="720" w:gutter="0"/>
          <w:cols w:space="720"/>
        </w:sectPr>
      </w:pPr>
    </w:p>
    <w:tbl>
      <w:tblPr>
        <w:tblW w:w="6660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660"/>
      </w:tblGrid>
      <w:tr w:rsidR="002D2F1C" w:rsidTr="002D2F1C">
        <w:tc>
          <w:tcPr>
            <w:tcW w:w="6662" w:type="dxa"/>
            <w:hideMark/>
          </w:tcPr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2</w:t>
            </w: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за 2019 год</w:t>
            </w:r>
          </w:p>
        </w:tc>
      </w:tr>
    </w:tbl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2976"/>
        <w:gridCol w:w="1729"/>
        <w:gridCol w:w="1559"/>
        <w:gridCol w:w="1701"/>
      </w:tblGrid>
      <w:tr w:rsidR="002D2F1C" w:rsidTr="002D2F1C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2D2F1C" w:rsidRDefault="002D2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2D2F1C" w:rsidTr="002D2F1C">
        <w:trPr>
          <w:trHeight w:val="7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2D2F1C" w:rsidTr="002D2F1C">
        <w:trPr>
          <w:trHeight w:val="486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F1C" w:rsidTr="002D2F1C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качественными жилищно-коммунальными услугами населения Рыбасовского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816,0</w:t>
            </w:r>
          </w:p>
        </w:tc>
      </w:tr>
      <w:tr w:rsidR="002D2F1C" w:rsidTr="002D2F1C">
        <w:trPr>
          <w:trHeight w:val="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816,0</w:t>
            </w:r>
          </w:p>
        </w:tc>
      </w:tr>
      <w:tr w:rsidR="002D2F1C" w:rsidTr="002D2F1C">
        <w:trPr>
          <w:trHeight w:val="3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3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1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3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816,0</w:t>
            </w:r>
          </w:p>
        </w:tc>
      </w:tr>
      <w:tr w:rsidR="002D2F1C" w:rsidTr="002D2F1C">
        <w:trPr>
          <w:trHeight w:val="2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816,0</w:t>
            </w:r>
          </w:p>
        </w:tc>
      </w:tr>
      <w:tr w:rsidR="002D2F1C" w:rsidTr="002D2F1C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1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</w:t>
            </w:r>
          </w:p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2.1 </w:t>
            </w:r>
          </w:p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496,2</w:t>
            </w:r>
          </w:p>
        </w:tc>
      </w:tr>
      <w:tr w:rsidR="002D2F1C" w:rsidTr="002D2F1C">
        <w:trPr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496,2</w:t>
            </w:r>
          </w:p>
        </w:tc>
      </w:tr>
      <w:tr w:rsidR="002D2F1C" w:rsidTr="002D2F1C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1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F1C" w:rsidTr="002D2F1C">
        <w:trPr>
          <w:trHeight w:val="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       </w:t>
            </w:r>
          </w:p>
          <w:p w:rsidR="002D2F1C" w:rsidRDefault="002D2F1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2.2 </w:t>
            </w:r>
          </w:p>
          <w:p w:rsidR="002D2F1C" w:rsidRDefault="002D2F1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</w:tr>
      <w:tr w:rsidR="002D2F1C" w:rsidTr="002D2F1C">
        <w:trPr>
          <w:trHeight w:val="26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319,8</w:t>
            </w:r>
          </w:p>
        </w:tc>
      </w:tr>
      <w:tr w:rsidR="002D2F1C" w:rsidTr="002D2F1C">
        <w:trPr>
          <w:trHeight w:val="59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F1C" w:rsidTr="002D2F1C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F1C" w:rsidTr="002D2F1C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F1C" w:rsidTr="002D2F1C">
        <w:trPr>
          <w:trHeight w:val="2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F1C" w:rsidTr="002D2F1C">
        <w:trPr>
          <w:trHeight w:val="1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2F1C" w:rsidRDefault="002D2F1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F1C" w:rsidRDefault="002D2F1C" w:rsidP="002D2F1C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2D2F1C" w:rsidRDefault="002D2F1C" w:rsidP="002D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ectPr w:rsidR="002D2F1C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tblInd w:w="8755" w:type="dxa"/>
        <w:tblLayout w:type="fixed"/>
        <w:tblLook w:val="04A0" w:firstRow="1" w:lastRow="0" w:firstColumn="1" w:lastColumn="0" w:noHBand="0" w:noVBand="1"/>
      </w:tblPr>
      <w:tblGrid>
        <w:gridCol w:w="6568"/>
      </w:tblGrid>
      <w:tr w:rsidR="002D2F1C" w:rsidTr="002D2F1C">
        <w:trPr>
          <w:trHeight w:val="1379"/>
        </w:trPr>
        <w:tc>
          <w:tcPr>
            <w:tcW w:w="6568" w:type="dxa"/>
          </w:tcPr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558C7FC2" wp14:editId="0A0E1CBB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-336550</wp:posOffset>
                      </wp:positionV>
                      <wp:extent cx="3923665" cy="151130"/>
                      <wp:effectExtent l="10160" t="6350" r="9525" b="139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1C" w:rsidRDefault="002D2F1C" w:rsidP="002D2F1C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D2F1C" w:rsidRDefault="002D2F1C" w:rsidP="002D2F1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4.3pt;margin-top:-26.5pt;width:308.95pt;height:1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    <v:textbox inset="2pt,2pt,2pt,2pt">
                        <w:txbxContent>
                          <w:p w:rsidR="002D2F1C" w:rsidRDefault="002D2F1C" w:rsidP="002D2F1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2F1C" w:rsidRDefault="002D2F1C" w:rsidP="002D2F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Приложение  №  3</w:t>
            </w:r>
          </w:p>
          <w:p w:rsidR="002D2F1C" w:rsidRDefault="002D2F1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за 2019 год</w:t>
            </w:r>
          </w:p>
          <w:p w:rsidR="002D2F1C" w:rsidRDefault="002D2F1C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2D2F1C" w:rsidRDefault="002D2F1C" w:rsidP="002D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8"/>
          <w:szCs w:val="28"/>
        </w:rPr>
      </w:pPr>
      <w:bookmarkStart w:id="1" w:name="Par1422"/>
      <w:r>
        <w:rPr>
          <w:sz w:val="28"/>
          <w:szCs w:val="28"/>
        </w:rPr>
        <w:t>СВЕДЕНИЯ</w:t>
      </w:r>
    </w:p>
    <w:p w:rsidR="002D2F1C" w:rsidRDefault="002D2F1C" w:rsidP="002D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1"/>
      <w:r>
        <w:rPr>
          <w:sz w:val="28"/>
          <w:szCs w:val="28"/>
        </w:rPr>
        <w:t xml:space="preserve"> 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2D2F1C" w:rsidTr="002D2F1C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D2F1C" w:rsidRDefault="002D2F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D2F1C" w:rsidTr="002D2F1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D2F1C" w:rsidRDefault="002D2F1C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2D2F1C" w:rsidTr="002D2F1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F1C" w:rsidRDefault="002D2F1C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2D2F1C" w:rsidTr="002D2F1C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F1C" w:rsidTr="002D2F1C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</w:tr>
      <w:tr w:rsidR="002D2F1C" w:rsidTr="002D2F1C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2F1C" w:rsidTr="002D2F1C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snapToGrid w:val="0"/>
              <w:rPr>
                <w:color w:val="000000"/>
              </w:rPr>
            </w:pPr>
            <w: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F1C" w:rsidTr="002D2F1C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rPr>
                <w:color w:val="000000"/>
              </w:rPr>
            </w:pPr>
            <w:r>
              <w:rPr>
                <w:color w:val="000000"/>
              </w:rPr>
              <w:t>Процент привлечения организаций к работам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F1C" w:rsidTr="002D2F1C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snapToGrid w:val="0"/>
              <w:rPr>
                <w:color w:val="000000"/>
              </w:rPr>
            </w:pPr>
            <w: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F1C" w:rsidTr="002D2F1C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C" w:rsidRDefault="002D2F1C">
            <w:pPr>
              <w:snapToGrid w:val="0"/>
            </w:pPr>
            <w:r>
              <w:t>Доля очистки территорий от несанкционированных свалок;</w:t>
            </w:r>
          </w:p>
          <w:p w:rsidR="002D2F1C" w:rsidRDefault="002D2F1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1C" w:rsidRDefault="002D2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F395D" w:rsidRDefault="002D2F1C">
      <w:bookmarkStart w:id="2" w:name="_GoBack"/>
      <w:bookmarkEnd w:id="2"/>
    </w:p>
    <w:sectPr w:rsidR="007F395D" w:rsidSect="002D2F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A"/>
    <w:rsid w:val="002D2F1C"/>
    <w:rsid w:val="003870C7"/>
    <w:rsid w:val="00504CD0"/>
    <w:rsid w:val="00B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F1C"/>
    <w:pPr>
      <w:keepNext/>
      <w:numPr>
        <w:numId w:val="2"/>
      </w:numPr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2D2F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D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D2F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D2F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2D2F1C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2D2F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2D2F1C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2D2F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D2F1C"/>
    <w:pPr>
      <w:spacing w:line="360" w:lineRule="auto"/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2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D2F1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2D2F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D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2D2F1C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2D2F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F1C"/>
    <w:pPr>
      <w:keepNext/>
      <w:numPr>
        <w:numId w:val="2"/>
      </w:numPr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2D2F1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D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D2F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D2F1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2D2F1C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2D2F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2D2F1C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2D2F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D2F1C"/>
    <w:pPr>
      <w:spacing w:line="360" w:lineRule="auto"/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D2F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D2F1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2D2F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D2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2D2F1C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2D2F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4DB1096J4iC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698AD763B209C1167283BCC9AD7B0DB73F0B2C180DA363F1D0CA5EFF342A239B3C8DF070DED355D91097J4iBI" TargetMode="External"/><Relationship Id="rId7" Type="http://schemas.openxmlformats.org/officeDocument/2006/relationships/hyperlink" Target="consultantplus://offline/ref=23698AD763B209C1167283BCC9AD7B0DB73F0B2C180DA363F1D0CA5EFF342A239B3C8DF070DED354DB1096J4iCI" TargetMode="Externa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file:///C:\Users\1\Downloads\&#1088;&#1072;&#1089;&#1087;&#1086;&#1088;&#1103;&#1078;&#1077;&#1085;&#1080;&#1077;%2030%20&#1086;&#1090;%2018.03.2020%20&#1075;&#1086;&#1076;&#1072;%20&#1054;&#1090;&#1095;&#1077;&#1090;&#1088;&#1077;&#1072;&#1083;&#1080;&#1079;&#1072;&#1094;&#1080;&#1080;%20%20&#1046;&#1050;&#1061;.doc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BCC9AD7B0DB73F0B2C180DA363F1D0CA5EFF342A239B3C8DF070DED354DB1096J4iCI" TargetMode="Externa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5DF1597J4i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88;&#1072;&#1089;&#1087;&#1086;&#1088;&#1103;&#1078;&#1077;&#1085;&#1080;&#1077;%2030%20&#1086;&#1090;%2018.03.2020%20&#1075;&#1086;&#1076;&#1072;%20&#1054;&#1090;&#1095;&#1077;&#1090;&#1088;&#1077;&#1072;&#1083;&#1080;&#1079;&#1072;&#1094;&#1080;&#1080;%20%20&#1046;&#1050;&#1061;.doc" TargetMode="External"/><Relationship Id="rId14" Type="http://schemas.openxmlformats.org/officeDocument/2006/relationships/hyperlink" Target="file:///C:\Users\1\Downloads\&#1088;&#1072;&#1089;&#1087;&#1086;&#1088;&#1103;&#1078;&#1077;&#1085;&#1080;&#1077;%2030%20&#1086;&#1090;%2018.03.2020%20&#1075;&#1086;&#1076;&#1072;%20&#1054;&#1090;&#1095;&#1077;&#1090;&#1088;&#1077;&#1072;&#1083;&#1080;&#1079;&#1072;&#1094;&#1080;&#1080;%20%20&#1046;&#1050;&#1061;.doc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file:///C:\Users\1\Downloads\&#1088;&#1072;&#1089;&#1087;&#1086;&#1088;&#1103;&#1078;&#1077;&#1085;&#1080;&#1077;%2030%20&#1086;&#1090;%2018.03.2020%20&#1075;&#1086;&#1076;&#1072;%20&#1054;&#1090;&#1095;&#1077;&#1090;&#1088;&#1077;&#1072;&#1083;&#1080;&#1079;&#1072;&#1094;&#1080;&#1080;%20%20&#1046;&#1050;&#1061;.doc" TargetMode="External"/><Relationship Id="rId30" Type="http://schemas.openxmlformats.org/officeDocument/2006/relationships/hyperlink" Target="consultantplus://offline/ref=23698AD763B209C1167283BCC9AD7B0DB73F0B2C180DA363F1D0CA5EFF342A239B3C8DF070DED354DB1096J4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2020-03-20T13:32:00Z</cp:lastPrinted>
  <dcterms:created xsi:type="dcterms:W3CDTF">2020-03-20T13:31:00Z</dcterms:created>
  <dcterms:modified xsi:type="dcterms:W3CDTF">2020-03-20T13:32:00Z</dcterms:modified>
</cp:coreProperties>
</file>